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D9" w:rsidRDefault="00312484" w:rsidP="00110D29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312484" w:rsidRDefault="00312484" w:rsidP="00110D29">
      <w:pPr>
        <w:jc w:val="right"/>
        <w:rPr>
          <w:rFonts w:hint="cs"/>
          <w:rtl/>
          <w:lang w:bidi="fa-IR"/>
        </w:rPr>
      </w:pPr>
      <w:r w:rsidRPr="00110D29">
        <w:rPr>
          <w:rFonts w:hint="cs"/>
          <w:sz w:val="40"/>
          <w:szCs w:val="40"/>
          <w:rtl/>
          <w:lang w:bidi="fa-IR"/>
        </w:rPr>
        <w:t>نتیجه بررسی درخواست انتقال ومیهمان جهت نیمسال اول 98- 97 در آموزشکده فنی قوچان به شرح ذیل اعلام می گردد.</w:t>
      </w:r>
      <w:r w:rsidR="005331BD" w:rsidRPr="00110D29">
        <w:rPr>
          <w:rFonts w:hint="cs"/>
          <w:sz w:val="40"/>
          <w:szCs w:val="40"/>
          <w:rtl/>
          <w:lang w:bidi="fa-IR"/>
        </w:rPr>
        <w:t>لازم به ذکر است پس از بررسی</w:t>
      </w:r>
      <w:r w:rsidR="00110D29">
        <w:rPr>
          <w:rFonts w:hint="cs"/>
          <w:sz w:val="40"/>
          <w:szCs w:val="40"/>
          <w:rtl/>
          <w:lang w:bidi="fa-IR"/>
        </w:rPr>
        <w:t xml:space="preserve">           </w:t>
      </w:r>
      <w:r w:rsidR="005331BD" w:rsidRPr="00110D29">
        <w:rPr>
          <w:rFonts w:hint="cs"/>
          <w:sz w:val="40"/>
          <w:szCs w:val="40"/>
          <w:rtl/>
          <w:lang w:bidi="fa-IR"/>
        </w:rPr>
        <w:t xml:space="preserve"> در خواست های موافقت شده در آموزشکده های مقصد لازم است دانشجو جهت تسویه  حساب </w:t>
      </w:r>
      <w:r w:rsidR="00110D29" w:rsidRPr="00110D29">
        <w:rPr>
          <w:rFonts w:hint="cs"/>
          <w:sz w:val="40"/>
          <w:szCs w:val="40"/>
          <w:rtl/>
          <w:lang w:bidi="fa-IR"/>
        </w:rPr>
        <w:t>به واحد آموزش  مراجعه  نماید</w:t>
      </w:r>
      <w:r w:rsidR="00110D29">
        <w:rPr>
          <w:rFonts w:hint="cs"/>
          <w:rtl/>
          <w:lang w:bidi="fa-IR"/>
        </w:rPr>
        <w:t>.</w:t>
      </w:r>
    </w:p>
    <w:p w:rsidR="00312484" w:rsidRDefault="00312484" w:rsidP="00110D29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واحد آموزش 7/5/97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340"/>
        <w:gridCol w:w="2700"/>
        <w:gridCol w:w="2520"/>
        <w:gridCol w:w="1080"/>
      </w:tblGrid>
      <w:tr w:rsidR="00312484" w:rsidTr="00110D29">
        <w:tc>
          <w:tcPr>
            <w:tcW w:w="2268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40"/>
                <w:szCs w:val="40"/>
                <w:lang w:bidi="fa-IR"/>
              </w:rPr>
            </w:pPr>
            <w:r w:rsidRPr="00110D29">
              <w:rPr>
                <w:rFonts w:hint="cs"/>
                <w:sz w:val="40"/>
                <w:szCs w:val="40"/>
                <w:rtl/>
                <w:lang w:bidi="fa-IR"/>
              </w:rPr>
              <w:t xml:space="preserve">نتیجه </w:t>
            </w:r>
          </w:p>
        </w:tc>
        <w:tc>
          <w:tcPr>
            <w:tcW w:w="234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40"/>
                <w:szCs w:val="40"/>
                <w:lang w:bidi="fa-IR"/>
              </w:rPr>
            </w:pPr>
            <w:r w:rsidRPr="00110D29">
              <w:rPr>
                <w:rFonts w:hint="cs"/>
                <w:sz w:val="40"/>
                <w:szCs w:val="40"/>
                <w:rtl/>
                <w:lang w:bidi="fa-IR"/>
              </w:rPr>
              <w:t>مقصد</w:t>
            </w:r>
          </w:p>
        </w:tc>
        <w:tc>
          <w:tcPr>
            <w:tcW w:w="270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40"/>
                <w:szCs w:val="40"/>
                <w:lang w:bidi="fa-IR"/>
              </w:rPr>
            </w:pPr>
            <w:r w:rsidRPr="00110D29">
              <w:rPr>
                <w:rFonts w:hint="cs"/>
                <w:sz w:val="40"/>
                <w:szCs w:val="40"/>
                <w:rtl/>
                <w:lang w:bidi="fa-IR"/>
              </w:rPr>
              <w:t xml:space="preserve">رشته </w:t>
            </w:r>
          </w:p>
        </w:tc>
        <w:tc>
          <w:tcPr>
            <w:tcW w:w="252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40"/>
                <w:szCs w:val="40"/>
                <w:lang w:bidi="fa-IR"/>
              </w:rPr>
            </w:pPr>
            <w:r w:rsidRPr="00110D29">
              <w:rPr>
                <w:rFonts w:hint="cs"/>
                <w:sz w:val="40"/>
                <w:szCs w:val="40"/>
                <w:rtl/>
                <w:lang w:bidi="fa-IR"/>
              </w:rPr>
              <w:t>نام ونام خانوادگی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40"/>
                <w:szCs w:val="40"/>
                <w:lang w:bidi="fa-IR"/>
              </w:rPr>
            </w:pPr>
            <w:r w:rsidRPr="00110D29">
              <w:rPr>
                <w:rFonts w:hint="cs"/>
                <w:sz w:val="40"/>
                <w:szCs w:val="40"/>
                <w:rtl/>
                <w:lang w:bidi="fa-IR"/>
              </w:rPr>
              <w:t>ردیف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bookmarkStart w:id="0" w:name="_GoBack" w:colFirst="0" w:colLast="0"/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موافقت -میهمان</w:t>
            </w:r>
          </w:p>
        </w:tc>
        <w:tc>
          <w:tcPr>
            <w:tcW w:w="234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 xml:space="preserve">چمران کرمان </w:t>
            </w:r>
          </w:p>
        </w:tc>
        <w:tc>
          <w:tcPr>
            <w:tcW w:w="270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کارشناسی الکترونیک</w:t>
            </w:r>
          </w:p>
        </w:tc>
        <w:tc>
          <w:tcPr>
            <w:tcW w:w="252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ایمان ریگی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bookmarkEnd w:id="0"/>
      <w:tr w:rsidR="00312484" w:rsidTr="00110D29">
        <w:tc>
          <w:tcPr>
            <w:tcW w:w="2268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مخالفت</w:t>
            </w:r>
          </w:p>
        </w:tc>
        <w:tc>
          <w:tcPr>
            <w:tcW w:w="234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منتظری مشهد</w:t>
            </w:r>
          </w:p>
        </w:tc>
        <w:tc>
          <w:tcPr>
            <w:tcW w:w="270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کاردانی معماری</w:t>
            </w:r>
          </w:p>
        </w:tc>
        <w:tc>
          <w:tcPr>
            <w:tcW w:w="252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مهدی محنتی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موافقت -میهمان</w:t>
            </w:r>
          </w:p>
        </w:tc>
        <w:tc>
          <w:tcPr>
            <w:tcW w:w="234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امام خمینی بوشهر</w:t>
            </w:r>
          </w:p>
        </w:tc>
        <w:tc>
          <w:tcPr>
            <w:tcW w:w="270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کاردانی کامپیوتر</w:t>
            </w:r>
          </w:p>
        </w:tc>
        <w:tc>
          <w:tcPr>
            <w:tcW w:w="252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محمدرضا آزادی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 xml:space="preserve">موافقت </w:t>
            </w:r>
            <w:r w:rsidRPr="00110D29">
              <w:rPr>
                <w:sz w:val="32"/>
                <w:szCs w:val="32"/>
                <w:rtl/>
                <w:lang w:bidi="fa-IR"/>
              </w:rPr>
              <w:t>–</w:t>
            </w: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انتقال دائم</w:t>
            </w:r>
          </w:p>
        </w:tc>
        <w:tc>
          <w:tcPr>
            <w:tcW w:w="234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آموزشکده شیروان</w:t>
            </w:r>
          </w:p>
        </w:tc>
        <w:tc>
          <w:tcPr>
            <w:tcW w:w="270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کاردانی کامپیوتر</w:t>
            </w:r>
          </w:p>
        </w:tc>
        <w:tc>
          <w:tcPr>
            <w:tcW w:w="252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 xml:space="preserve">ابوطالب هوشمند 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مخالفت</w:t>
            </w:r>
          </w:p>
        </w:tc>
        <w:tc>
          <w:tcPr>
            <w:tcW w:w="234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منتظری مشهد</w:t>
            </w:r>
          </w:p>
        </w:tc>
        <w:tc>
          <w:tcPr>
            <w:tcW w:w="270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کاردانی معماری</w:t>
            </w:r>
          </w:p>
        </w:tc>
        <w:tc>
          <w:tcPr>
            <w:tcW w:w="252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محمدرضا عطایی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مخالفت</w:t>
            </w:r>
          </w:p>
        </w:tc>
        <w:tc>
          <w:tcPr>
            <w:tcW w:w="234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منتظری مشهد</w:t>
            </w:r>
          </w:p>
        </w:tc>
        <w:tc>
          <w:tcPr>
            <w:tcW w:w="270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کارشناسی معماری</w:t>
            </w:r>
          </w:p>
        </w:tc>
        <w:tc>
          <w:tcPr>
            <w:tcW w:w="252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محمدحسین احمدی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مخالفت</w:t>
            </w:r>
          </w:p>
        </w:tc>
        <w:tc>
          <w:tcPr>
            <w:tcW w:w="234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منتظری مشهد</w:t>
            </w:r>
          </w:p>
        </w:tc>
        <w:tc>
          <w:tcPr>
            <w:tcW w:w="270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کارشناسی معماری</w:t>
            </w:r>
          </w:p>
        </w:tc>
        <w:tc>
          <w:tcPr>
            <w:tcW w:w="252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سید احسان حسینی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مخالفت</w:t>
            </w:r>
          </w:p>
        </w:tc>
        <w:tc>
          <w:tcPr>
            <w:tcW w:w="234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منتظری مشهد</w:t>
            </w:r>
          </w:p>
        </w:tc>
        <w:tc>
          <w:tcPr>
            <w:tcW w:w="270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کاردانی کامپیوتر</w:t>
            </w:r>
          </w:p>
        </w:tc>
        <w:tc>
          <w:tcPr>
            <w:tcW w:w="252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جواد مهر افروز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مخالفت</w:t>
            </w:r>
          </w:p>
        </w:tc>
        <w:tc>
          <w:tcPr>
            <w:tcW w:w="234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منتظری مشهد</w:t>
            </w:r>
          </w:p>
        </w:tc>
        <w:tc>
          <w:tcPr>
            <w:tcW w:w="270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کاردانی حسابداری</w:t>
            </w:r>
          </w:p>
        </w:tc>
        <w:tc>
          <w:tcPr>
            <w:tcW w:w="252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حمزه بادوام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مخالفت</w:t>
            </w:r>
          </w:p>
        </w:tc>
        <w:tc>
          <w:tcPr>
            <w:tcW w:w="234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منتظری مشهد</w:t>
            </w:r>
          </w:p>
        </w:tc>
        <w:tc>
          <w:tcPr>
            <w:tcW w:w="270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کاردانی برق</w:t>
            </w:r>
          </w:p>
        </w:tc>
        <w:tc>
          <w:tcPr>
            <w:tcW w:w="252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مهدی رضایی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موافقت -میهمان</w:t>
            </w:r>
          </w:p>
        </w:tc>
        <w:tc>
          <w:tcPr>
            <w:tcW w:w="234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آموزشکده شهرکرد</w:t>
            </w:r>
          </w:p>
        </w:tc>
        <w:tc>
          <w:tcPr>
            <w:tcW w:w="270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کاردانی برق</w:t>
            </w:r>
          </w:p>
        </w:tc>
        <w:tc>
          <w:tcPr>
            <w:tcW w:w="2520" w:type="dxa"/>
          </w:tcPr>
          <w:p w:rsidR="00312484" w:rsidRPr="00110D29" w:rsidRDefault="0001361E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محمد عزیزی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موافقت -میهمان</w:t>
            </w:r>
          </w:p>
        </w:tc>
        <w:tc>
          <w:tcPr>
            <w:tcW w:w="2340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منتظری مشهد</w:t>
            </w:r>
          </w:p>
        </w:tc>
        <w:tc>
          <w:tcPr>
            <w:tcW w:w="2700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کاردانی الکترونیک</w:t>
            </w:r>
          </w:p>
        </w:tc>
        <w:tc>
          <w:tcPr>
            <w:tcW w:w="2520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علیرضا باقری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مخالفت</w:t>
            </w:r>
          </w:p>
        </w:tc>
        <w:tc>
          <w:tcPr>
            <w:tcW w:w="2340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منتظری مشهد</w:t>
            </w:r>
          </w:p>
        </w:tc>
        <w:tc>
          <w:tcPr>
            <w:tcW w:w="2700" w:type="dxa"/>
          </w:tcPr>
          <w:p w:rsidR="00312484" w:rsidRPr="00110D29" w:rsidRDefault="000D5612" w:rsidP="000D5612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کاردانی  الکترونیک</w:t>
            </w:r>
          </w:p>
        </w:tc>
        <w:tc>
          <w:tcPr>
            <w:tcW w:w="2520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عمادجویا</w:t>
            </w:r>
          </w:p>
        </w:tc>
        <w:tc>
          <w:tcPr>
            <w:tcW w:w="1080" w:type="dxa"/>
          </w:tcPr>
          <w:p w:rsidR="00312484" w:rsidRPr="00110D29" w:rsidRDefault="00312484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312484" w:rsidTr="00110D29">
        <w:tc>
          <w:tcPr>
            <w:tcW w:w="2268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موافقت -میهمان</w:t>
            </w:r>
          </w:p>
        </w:tc>
        <w:tc>
          <w:tcPr>
            <w:tcW w:w="2340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باهنر شیراز</w:t>
            </w:r>
          </w:p>
        </w:tc>
        <w:tc>
          <w:tcPr>
            <w:tcW w:w="2700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کارشناسی معماری</w:t>
            </w:r>
          </w:p>
        </w:tc>
        <w:tc>
          <w:tcPr>
            <w:tcW w:w="2520" w:type="dxa"/>
          </w:tcPr>
          <w:p w:rsidR="00312484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سید محمد رضا موسوی</w:t>
            </w:r>
          </w:p>
        </w:tc>
        <w:tc>
          <w:tcPr>
            <w:tcW w:w="1080" w:type="dxa"/>
          </w:tcPr>
          <w:p w:rsidR="00312484" w:rsidRPr="00110D29" w:rsidRDefault="005331BD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0D5612" w:rsidTr="00110D29">
        <w:tc>
          <w:tcPr>
            <w:tcW w:w="2268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مخالفت</w:t>
            </w:r>
          </w:p>
        </w:tc>
        <w:tc>
          <w:tcPr>
            <w:tcW w:w="234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انقلاب تهران</w:t>
            </w:r>
          </w:p>
        </w:tc>
        <w:tc>
          <w:tcPr>
            <w:tcW w:w="270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کارشناسی معماری</w:t>
            </w:r>
          </w:p>
        </w:tc>
        <w:tc>
          <w:tcPr>
            <w:tcW w:w="252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عزت ا...لر حاجی اباد</w:t>
            </w:r>
          </w:p>
        </w:tc>
        <w:tc>
          <w:tcPr>
            <w:tcW w:w="1080" w:type="dxa"/>
          </w:tcPr>
          <w:p w:rsidR="000D5612" w:rsidRPr="00110D29" w:rsidRDefault="005331BD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0D5612" w:rsidTr="00110D29">
        <w:tc>
          <w:tcPr>
            <w:tcW w:w="2268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موافقت -میهمان</w:t>
            </w:r>
          </w:p>
        </w:tc>
        <w:tc>
          <w:tcPr>
            <w:tcW w:w="234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باهنر زاهدان</w:t>
            </w:r>
          </w:p>
        </w:tc>
        <w:tc>
          <w:tcPr>
            <w:tcW w:w="270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کارشناسی معماری</w:t>
            </w:r>
          </w:p>
        </w:tc>
        <w:tc>
          <w:tcPr>
            <w:tcW w:w="252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حمید رضا نیکبخت</w:t>
            </w:r>
          </w:p>
        </w:tc>
        <w:tc>
          <w:tcPr>
            <w:tcW w:w="1080" w:type="dxa"/>
          </w:tcPr>
          <w:p w:rsidR="000D5612" w:rsidRPr="00110D29" w:rsidRDefault="005331BD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0D5612" w:rsidTr="00110D29">
        <w:tc>
          <w:tcPr>
            <w:tcW w:w="2268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موافقت -میهمان</w:t>
            </w:r>
          </w:p>
        </w:tc>
        <w:tc>
          <w:tcPr>
            <w:tcW w:w="234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منتظری مکشهد</w:t>
            </w:r>
          </w:p>
        </w:tc>
        <w:tc>
          <w:tcPr>
            <w:tcW w:w="270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کارشناسی معماری</w:t>
            </w:r>
          </w:p>
        </w:tc>
        <w:tc>
          <w:tcPr>
            <w:tcW w:w="252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علیرضا غفوری</w:t>
            </w:r>
          </w:p>
        </w:tc>
        <w:tc>
          <w:tcPr>
            <w:tcW w:w="1080" w:type="dxa"/>
          </w:tcPr>
          <w:p w:rsidR="000D5612" w:rsidRPr="00110D29" w:rsidRDefault="005331BD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17</w:t>
            </w:r>
          </w:p>
        </w:tc>
      </w:tr>
      <w:tr w:rsidR="000D5612" w:rsidTr="00110D29">
        <w:tc>
          <w:tcPr>
            <w:tcW w:w="2268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rtl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مخالفت</w:t>
            </w:r>
          </w:p>
        </w:tc>
        <w:tc>
          <w:tcPr>
            <w:tcW w:w="234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rtl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چمران گرگان</w:t>
            </w:r>
          </w:p>
        </w:tc>
        <w:tc>
          <w:tcPr>
            <w:tcW w:w="270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rtl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کارشناسی معماری</w:t>
            </w:r>
          </w:p>
        </w:tc>
        <w:tc>
          <w:tcPr>
            <w:tcW w:w="2520" w:type="dxa"/>
          </w:tcPr>
          <w:p w:rsidR="000D5612" w:rsidRPr="00110D29" w:rsidRDefault="000D5612" w:rsidP="00312484">
            <w:pPr>
              <w:jc w:val="right"/>
              <w:rPr>
                <w:rFonts w:hint="cs"/>
                <w:sz w:val="32"/>
                <w:szCs w:val="32"/>
                <w:rtl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احسان اسکندری</w:t>
            </w:r>
          </w:p>
        </w:tc>
        <w:tc>
          <w:tcPr>
            <w:tcW w:w="1080" w:type="dxa"/>
          </w:tcPr>
          <w:p w:rsidR="000D5612" w:rsidRPr="00110D29" w:rsidRDefault="005331BD" w:rsidP="00312484">
            <w:pPr>
              <w:jc w:val="right"/>
              <w:rPr>
                <w:rFonts w:hint="cs"/>
                <w:sz w:val="32"/>
                <w:szCs w:val="32"/>
                <w:lang w:bidi="fa-IR"/>
              </w:rPr>
            </w:pPr>
            <w:r w:rsidRPr="00110D29">
              <w:rPr>
                <w:rFonts w:hint="cs"/>
                <w:sz w:val="32"/>
                <w:szCs w:val="32"/>
                <w:rtl/>
                <w:lang w:bidi="fa-IR"/>
              </w:rPr>
              <w:t>18</w:t>
            </w:r>
          </w:p>
        </w:tc>
      </w:tr>
    </w:tbl>
    <w:p w:rsidR="00312484" w:rsidRDefault="00312484" w:rsidP="00312484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312484" w:rsidSect="00110D29">
      <w:pgSz w:w="12240" w:h="15840"/>
      <w:pgMar w:top="63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1361E"/>
    <w:rsid w:val="000D5612"/>
    <w:rsid w:val="00110D29"/>
    <w:rsid w:val="00312484"/>
    <w:rsid w:val="005331BD"/>
    <w:rsid w:val="00573FB2"/>
    <w:rsid w:val="00E8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qutc</dc:creator>
  <cp:keywords/>
  <dc:description/>
  <cp:lastModifiedBy>qutc</cp:lastModifiedBy>
  <cp:revision>2</cp:revision>
  <dcterms:created xsi:type="dcterms:W3CDTF">2018-07-29T07:43:00Z</dcterms:created>
  <dcterms:modified xsi:type="dcterms:W3CDTF">2018-07-29T07:43:00Z</dcterms:modified>
</cp:coreProperties>
</file>